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okman Old Style" w:hAnsi="Bookman Old Style"/>
          <w:b/>
          <w:b/>
          <w:bCs/>
          <w:sz w:val="28"/>
          <w:szCs w:val="28"/>
        </w:rPr>
      </w:pPr>
      <w:r>
        <w:rPr>
          <w:rFonts w:ascii="Bookman Old Style" w:hAnsi="Bookman Old Style"/>
          <w:b/>
          <w:bCs/>
          <w:sz w:val="28"/>
          <w:szCs w:val="28"/>
        </w:rPr>
        <w:t>Embassy of India</w:t>
      </w:r>
    </w:p>
    <w:p>
      <w:pPr>
        <w:pStyle w:val="Normal"/>
        <w:jc w:val="center"/>
        <w:rPr>
          <w:rFonts w:ascii="Bookman Old Style" w:hAnsi="Bookman Old Style"/>
          <w:b/>
          <w:b/>
          <w:bCs/>
          <w:sz w:val="28"/>
          <w:szCs w:val="28"/>
        </w:rPr>
      </w:pPr>
      <w:r>
        <w:rPr>
          <w:rFonts w:ascii="Bookman Old Style" w:hAnsi="Bookman Old Style"/>
          <w:b/>
          <w:bCs/>
          <w:sz w:val="28"/>
          <w:szCs w:val="28"/>
        </w:rPr>
        <w:t>Cairo</w:t>
      </w:r>
    </w:p>
    <w:p>
      <w:pPr>
        <w:pStyle w:val="Normal"/>
        <w:jc w:val="center"/>
        <w:rPr>
          <w:rFonts w:ascii="Bookman Old Style" w:hAnsi="Bookman Old Style"/>
          <w:b/>
          <w:b/>
          <w:bCs/>
          <w:sz w:val="28"/>
          <w:szCs w:val="28"/>
        </w:rPr>
      </w:pPr>
      <w:r>
        <w:rPr>
          <w:rFonts w:ascii="Bookman Old Style" w:hAnsi="Bookman Old Style"/>
          <w:b/>
          <w:bCs/>
          <w:sz w:val="28"/>
          <w:szCs w:val="28"/>
        </w:rPr>
        <w:t>***</w:t>
      </w:r>
    </w:p>
    <w:p>
      <w:pPr>
        <w:pStyle w:val="Normal"/>
        <w:jc w:val="both"/>
        <w:rPr/>
      </w:pPr>
      <w:r>
        <w:rPr/>
      </w:r>
    </w:p>
    <w:p>
      <w:pPr>
        <w:pStyle w:val="Normal"/>
        <w:rPr/>
      </w:pPr>
      <w:r>
        <w:rPr>
          <w:rFonts w:ascii="Bookman Old Style" w:hAnsi="Bookman Old Style"/>
          <w:b/>
          <w:bCs/>
          <w:sz w:val="28"/>
          <w:szCs w:val="26"/>
        </w:rPr>
        <w:t>Non-Tariff Barriers</w:t>
      </w:r>
    </w:p>
    <w:p>
      <w:pPr>
        <w:pStyle w:val="Normal"/>
        <w:jc w:val="both"/>
        <w:rPr/>
      </w:pPr>
      <w:r>
        <w:rPr/>
      </w:r>
    </w:p>
    <w:tbl>
      <w:tblPr>
        <w:tblW w:w="9990" w:type="dxa"/>
        <w:jc w:val="left"/>
        <w:tblInd w:w="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Look w:val="04a0" w:noVBand="1" w:noHBand="0" w:lastColumn="0" w:firstColumn="1" w:lastRow="0" w:firstRow="1"/>
      </w:tblPr>
      <w:tblGrid>
        <w:gridCol w:w="500"/>
        <w:gridCol w:w="1844"/>
        <w:gridCol w:w="4566"/>
        <w:gridCol w:w="3079"/>
      </w:tblGrid>
      <w:tr>
        <w:trPr/>
        <w:tc>
          <w:tcPr>
            <w:tcW w:w="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Sr</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Issue</w:t>
            </w:r>
          </w:p>
        </w:tc>
        <w:tc>
          <w:tcPr>
            <w:tcW w:w="4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Action Taken</w:t>
            </w:r>
          </w:p>
        </w:tc>
        <w:tc>
          <w:tcPr>
            <w:tcW w:w="3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Feedback/Reciprocal Measures</w:t>
            </w:r>
          </w:p>
        </w:tc>
      </w:tr>
      <w:tr>
        <w:trPr>
          <w:trHeight w:val="620" w:hRule="atLeast"/>
        </w:trPr>
        <w:tc>
          <w:tcPr>
            <w:tcW w:w="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1</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Export of Raw Cotton from India to Egypt</w:t>
            </w:r>
          </w:p>
        </w:tc>
        <w:tc>
          <w:tcPr>
            <w:tcW w:w="4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Export of raw cotton to Egypt from India is currently banned due to phytosanitary concerns.</w:t>
            </w:r>
          </w:p>
          <w:p>
            <w:pPr>
              <w:pStyle w:val="Normal"/>
              <w:spacing w:lineRule="auto" w:line="252"/>
              <w:jc w:val="both"/>
              <w:rPr>
                <w:rFonts w:ascii="Bookman Old Style" w:hAnsi="Bookman Old Style" w:cs="Times New Roman" w:cstheme="majorBidi"/>
                <w:sz w:val="28"/>
                <w:szCs w:val="28"/>
              </w:rPr>
            </w:pPr>
            <w:r>
              <w:rPr>
                <w:rFonts w:cs="Times New Roman" w:cstheme="majorBidi" w:ascii="Bookman Old Style" w:hAnsi="Bookman Old Style"/>
                <w:sz w:val="28"/>
                <w:szCs w:val="28"/>
              </w:rPr>
            </w:r>
          </w:p>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 xml:space="preserve"> </w:t>
            </w:r>
            <w:r>
              <w:rPr>
                <w:rFonts w:cs="Times New Roman" w:ascii="Bookman Old Style" w:hAnsi="Bookman Old Style" w:cstheme="majorBidi"/>
                <w:sz w:val="28"/>
                <w:szCs w:val="28"/>
              </w:rPr>
              <w:t>During the JWG on Trade and Investment between India and Egypt on 03 March 2021, the Egyptian side stated they will have to visit India to complete the Pest Risk Analysis (PRA) exercise.</w:t>
            </w:r>
          </w:p>
        </w:tc>
        <w:tc>
          <w:tcPr>
            <w:tcW w:w="3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Visit by Egyptian inspectors to Indian facilities is pending.</w:t>
            </w:r>
          </w:p>
          <w:p>
            <w:pPr>
              <w:pStyle w:val="Normal"/>
              <w:spacing w:lineRule="auto" w:line="252"/>
              <w:jc w:val="both"/>
              <w:rPr>
                <w:rFonts w:ascii="Bookman Old Style" w:hAnsi="Bookman Old Style" w:cs="Times New Roman" w:cstheme="majorBidi"/>
                <w:sz w:val="28"/>
                <w:szCs w:val="28"/>
              </w:rPr>
            </w:pPr>
            <w:r>
              <w:rPr>
                <w:rFonts w:cs="Times New Roman" w:cstheme="majorBidi" w:ascii="Bookman Old Style" w:hAnsi="Bookman Old Style"/>
                <w:sz w:val="28"/>
                <w:szCs w:val="28"/>
              </w:rPr>
            </w:r>
          </w:p>
        </w:tc>
      </w:tr>
      <w:tr>
        <w:trPr/>
        <w:tc>
          <w:tcPr>
            <w:tcW w:w="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2</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Export of Date Palm Seedlings from India to Egypt</w:t>
            </w:r>
          </w:p>
        </w:tc>
        <w:tc>
          <w:tcPr>
            <w:tcW w:w="4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Date Palm Seedlings export is banned from India due to phytosanitary concerns. The Egyptian side stated they will have to visit India to complete the Pest Risk Analysis (PRA) exercise.</w:t>
            </w:r>
          </w:p>
        </w:tc>
        <w:tc>
          <w:tcPr>
            <w:tcW w:w="3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Visit by Egyptian inspectors to Indian facilities is pending.</w:t>
            </w:r>
          </w:p>
          <w:p>
            <w:pPr>
              <w:pStyle w:val="Normal"/>
              <w:spacing w:lineRule="auto" w:line="252"/>
              <w:jc w:val="both"/>
              <w:rPr>
                <w:rFonts w:ascii="Bookman Old Style" w:hAnsi="Bookman Old Style" w:cs="Times New Roman" w:cstheme="majorBidi"/>
                <w:sz w:val="28"/>
                <w:szCs w:val="28"/>
              </w:rPr>
            </w:pPr>
            <w:r>
              <w:rPr>
                <w:rFonts w:cs="Times New Roman" w:cstheme="majorBidi" w:ascii="Bookman Old Style" w:hAnsi="Bookman Old Style"/>
                <w:sz w:val="28"/>
                <w:szCs w:val="28"/>
              </w:rPr>
            </w:r>
          </w:p>
        </w:tc>
      </w:tr>
      <w:tr>
        <w:trPr/>
        <w:tc>
          <w:tcPr>
            <w:tcW w:w="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3</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Certificate and Registration of Indian drugs</w:t>
            </w:r>
          </w:p>
        </w:tc>
        <w:tc>
          <w:tcPr>
            <w:tcW w:w="4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Exclusion from list of reference countries: Although Indian companies have more advanced certifications than US and EU regulators; Egypt continues to rely on the old GMP certification. This adverse regulatory environment is one reason why India is excluded from the list of 22 reference countries used by Egypt’s Ministry of Health.</w:t>
            </w:r>
          </w:p>
        </w:tc>
        <w:tc>
          <w:tcPr>
            <w:tcW w:w="3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 xml:space="preserve">The issue was discussed in JWG on Pharmaceuticals held in March 2022. There needs to be institution level mechanism between Egyptian Drug Authority and CDSCO in order to include India in the list of 22 reference countries (last updated in 2009). MOU between CDSCO and Egyptian Drug Agency is pending with Egyptian side. </w:t>
            </w:r>
          </w:p>
        </w:tc>
      </w:tr>
      <w:tr>
        <w:trPr>
          <w:trHeight w:val="1763" w:hRule="atLeast"/>
        </w:trPr>
        <w:tc>
          <w:tcPr>
            <w:tcW w:w="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4</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Export of coconut Seedlings from India to Egypt</w:t>
            </w:r>
          </w:p>
          <w:p>
            <w:pPr>
              <w:pStyle w:val="Normal"/>
              <w:spacing w:lineRule="auto" w:line="252"/>
              <w:jc w:val="both"/>
              <w:rPr>
                <w:rFonts w:ascii="Bookman Old Style" w:hAnsi="Bookman Old Style" w:cs="Times New Roman" w:cstheme="majorBidi"/>
                <w:sz w:val="28"/>
                <w:szCs w:val="28"/>
              </w:rPr>
            </w:pPr>
            <w:r>
              <w:rPr>
                <w:rFonts w:cs="Times New Roman" w:cstheme="majorBidi" w:ascii="Bookman Old Style" w:hAnsi="Bookman Old Style"/>
                <w:sz w:val="28"/>
                <w:szCs w:val="28"/>
              </w:rPr>
            </w:r>
          </w:p>
        </w:tc>
        <w:tc>
          <w:tcPr>
            <w:tcW w:w="4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Coconut Seedlings export is banned from India due to phytosanitary concerns. The Egyptian side stated they will have to visit India to complete the Pest Risk Analysis (PRA) exercise.</w:t>
            </w:r>
          </w:p>
        </w:tc>
        <w:tc>
          <w:tcPr>
            <w:tcW w:w="3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Visit by Egyptian inspectors to Indian facilities is pending.</w:t>
            </w:r>
          </w:p>
        </w:tc>
      </w:tr>
      <w:tr>
        <w:trPr>
          <w:trHeight w:val="1763" w:hRule="atLeast"/>
        </w:trPr>
        <w:tc>
          <w:tcPr>
            <w:tcW w:w="5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5</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Exports of Milk powder from India to Egypt</w:t>
            </w:r>
          </w:p>
        </w:tc>
        <w:tc>
          <w:tcPr>
            <w:tcW w:w="4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 xml:space="preserve">According to the Egyptian Standards, the maximum limit of M1 Aflatoxin applicable in Egypt for powdered milk is 0.05 ppb. </w:t>
            </w:r>
          </w:p>
          <w:p>
            <w:pPr>
              <w:pStyle w:val="Normal"/>
              <w:spacing w:lineRule="auto" w:line="252"/>
              <w:jc w:val="both"/>
              <w:rPr>
                <w:rFonts w:ascii="Bookman Old Style" w:hAnsi="Bookman Old Style" w:cs="Times New Roman" w:cstheme="majorBidi"/>
                <w:sz w:val="28"/>
                <w:szCs w:val="28"/>
              </w:rPr>
            </w:pPr>
            <w:r>
              <w:rPr>
                <w:rFonts w:cs="Times New Roman" w:cstheme="majorBidi" w:ascii="Bookman Old Style" w:hAnsi="Bookman Old Style"/>
                <w:sz w:val="28"/>
                <w:szCs w:val="28"/>
              </w:rPr>
            </w:r>
          </w:p>
          <w:p>
            <w:pPr>
              <w:pStyle w:val="Normal"/>
              <w:spacing w:lineRule="auto" w:line="252"/>
              <w:jc w:val="both"/>
              <w:rPr>
                <w:rFonts w:ascii="Bookman Old Style" w:hAnsi="Bookman Old Style" w:cs="Times New Roman" w:cstheme="majorBidi"/>
                <w:b/>
                <w:b/>
                <w:bCs/>
                <w:sz w:val="28"/>
                <w:szCs w:val="28"/>
              </w:rPr>
            </w:pPr>
            <w:r>
              <w:rPr>
                <w:rFonts w:cs="Times New Roman" w:ascii="Bookman Old Style" w:hAnsi="Bookman Old Style" w:cstheme="majorBidi"/>
                <w:sz w:val="28"/>
                <w:szCs w:val="28"/>
              </w:rPr>
              <w:t>However, the level of M1 Aflatoxin in Indian milk powder surpasses this permissible Egyptian limit</w:t>
            </w:r>
            <w:r>
              <w:rPr>
                <w:rFonts w:cs="Times New Roman" w:ascii="Bookman Old Style" w:hAnsi="Bookman Old Style" w:cstheme="majorBidi"/>
                <w:b/>
                <w:bCs/>
                <w:sz w:val="28"/>
                <w:szCs w:val="28"/>
              </w:rPr>
              <w:t xml:space="preserve">.  </w:t>
            </w:r>
          </w:p>
        </w:tc>
        <w:tc>
          <w:tcPr>
            <w:tcW w:w="3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spacing w:lineRule="auto" w:line="252"/>
              <w:jc w:val="both"/>
              <w:rPr>
                <w:rFonts w:ascii="Bookman Old Style" w:hAnsi="Bookman Old Style" w:cs="Times New Roman" w:cstheme="majorBidi"/>
                <w:sz w:val="28"/>
                <w:szCs w:val="28"/>
              </w:rPr>
            </w:pPr>
            <w:r>
              <w:rPr>
                <w:rFonts w:cs="Times New Roman" w:ascii="Bookman Old Style" w:hAnsi="Bookman Old Style" w:cstheme="majorBidi"/>
                <w:sz w:val="28"/>
                <w:szCs w:val="28"/>
              </w:rPr>
              <w:t xml:space="preserve">Issue has been raised with Egyptain side during Joint Trade Commission Meeting held in April  2019 and June 2022. </w:t>
            </w:r>
          </w:p>
        </w:tc>
      </w:tr>
    </w:tbl>
    <w:p>
      <w:pPr>
        <w:pStyle w:val="Normal"/>
        <w:jc w:val="both"/>
        <w:rPr/>
      </w:pPr>
      <w:r>
        <w:rPr/>
      </w:r>
    </w:p>
    <w:p>
      <w:pPr>
        <w:pStyle w:val="Normal"/>
        <w:jc w:val="both"/>
        <w:rPr/>
      </w:pPr>
      <w:r>
        <w:rPr/>
      </w:r>
    </w:p>
    <w:p>
      <w:pPr>
        <w:pStyle w:val="Normal"/>
        <w:spacing w:lineRule="auto" w:line="252"/>
        <w:jc w:val="both"/>
        <w:rPr>
          <w:rFonts w:ascii="Bookman Old Style" w:hAnsi="Bookman Old Style" w:cs="Times New Roman" w:cstheme="majorBidi"/>
          <w:b/>
          <w:b/>
          <w:bCs/>
          <w:sz w:val="28"/>
          <w:szCs w:val="28"/>
        </w:rPr>
      </w:pPr>
      <w:r>
        <w:rPr>
          <w:rFonts w:cs="Times New Roman" w:cstheme="majorBidi" w:ascii="Bookman Old Style" w:hAnsi="Bookman Old Style"/>
          <w:b/>
          <w:bCs/>
          <w:sz w:val="28"/>
          <w:szCs w:val="28"/>
        </w:rPr>
      </w:r>
    </w:p>
    <w:p>
      <w:pPr>
        <w:pStyle w:val="Normal"/>
        <w:spacing w:lineRule="auto" w:line="252"/>
        <w:jc w:val="both"/>
        <w:rPr>
          <w:rFonts w:ascii="Bookman Old Style" w:hAnsi="Bookman Old Style" w:cs="Times New Roman" w:cstheme="majorBidi"/>
          <w:b/>
          <w:b/>
          <w:bCs/>
          <w:sz w:val="28"/>
          <w:szCs w:val="28"/>
        </w:rPr>
      </w:pPr>
      <w:r>
        <w:rPr>
          <w:rFonts w:cs="Times New Roman" w:cstheme="majorBidi" w:ascii="Bookman Old Style" w:hAnsi="Bookman Old Style"/>
          <w:b/>
          <w:bCs/>
          <w:sz w:val="28"/>
          <w:szCs w:val="28"/>
        </w:rPr>
      </w:r>
    </w:p>
    <w:p>
      <w:pPr>
        <w:pStyle w:val="Normal"/>
        <w:spacing w:lineRule="auto" w:line="252"/>
        <w:jc w:val="both"/>
        <w:rPr>
          <w:rFonts w:ascii="Bookman Old Style" w:hAnsi="Bookman Old Style" w:cs="Times New Roman" w:cstheme="majorBidi"/>
          <w:b/>
          <w:b/>
          <w:bCs/>
          <w:sz w:val="28"/>
          <w:szCs w:val="28"/>
        </w:rPr>
      </w:pPr>
      <w:r>
        <w:rPr>
          <w:rFonts w:cs="Times New Roman" w:cstheme="majorBidi" w:ascii="Bookman Old Style" w:hAnsi="Bookman Old Style"/>
          <w:b/>
          <w:bCs/>
          <w:sz w:val="28"/>
          <w:szCs w:val="28"/>
        </w:rPr>
      </w:r>
    </w:p>
    <w:p>
      <w:pPr>
        <w:pStyle w:val="Normal"/>
        <w:spacing w:lineRule="auto" w:line="252"/>
        <w:jc w:val="both"/>
        <w:rPr>
          <w:rFonts w:ascii="Bookman Old Style" w:hAnsi="Bookman Old Style" w:cs="Times New Roman" w:cstheme="majorBidi"/>
          <w:b/>
          <w:b/>
          <w:bCs/>
          <w:sz w:val="28"/>
          <w:szCs w:val="28"/>
        </w:rPr>
      </w:pPr>
      <w:r>
        <w:rPr>
          <w:rFonts w:cs="Times New Roman" w:cstheme="majorBidi" w:ascii="Bookman Old Style" w:hAnsi="Bookman Old Style"/>
          <w:b/>
          <w:bCs/>
          <w:sz w:val="28"/>
          <w:szCs w:val="28"/>
        </w:rPr>
      </w:r>
    </w:p>
    <w:p>
      <w:pPr>
        <w:pStyle w:val="Normal"/>
        <w:spacing w:lineRule="auto" w:line="252"/>
        <w:jc w:val="both"/>
        <w:rPr>
          <w:rFonts w:ascii="Bookman Old Style" w:hAnsi="Bookman Old Style" w:cs="Times New Roman" w:cstheme="majorBidi"/>
          <w:b/>
          <w:b/>
          <w:bCs/>
          <w:sz w:val="28"/>
          <w:szCs w:val="28"/>
        </w:rPr>
      </w:pPr>
      <w:r>
        <w:rPr>
          <w:rFonts w:cs="Times New Roman" w:cstheme="majorBidi" w:ascii="Bookman Old Style" w:hAnsi="Bookman Old Style"/>
          <w:b/>
          <w:bCs/>
          <w:sz w:val="28"/>
          <w:szCs w:val="28"/>
        </w:rPr>
      </w:r>
    </w:p>
    <w:p>
      <w:pPr>
        <w:pStyle w:val="Normal"/>
        <w:spacing w:lineRule="auto" w:line="252"/>
        <w:jc w:val="both"/>
        <w:rPr>
          <w:rFonts w:ascii="Bookman Old Style" w:hAnsi="Bookman Old Style" w:cs="Times New Roman" w:cstheme="majorBidi"/>
          <w:b/>
          <w:b/>
          <w:bCs/>
          <w:sz w:val="28"/>
          <w:szCs w:val="28"/>
        </w:rPr>
      </w:pPr>
      <w:r>
        <w:rPr>
          <w:rFonts w:cs="Times New Roman" w:cstheme="majorBidi" w:ascii="Bookman Old Style" w:hAnsi="Bookman Old Style"/>
          <w:b/>
          <w:bCs/>
          <w:sz w:val="28"/>
          <w:szCs w:val="28"/>
        </w:rPr>
      </w:r>
    </w:p>
    <w:p>
      <w:pPr>
        <w:pStyle w:val="Normal"/>
        <w:spacing w:lineRule="auto" w:line="252"/>
        <w:jc w:val="both"/>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Bookman Old Style">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7996"/>
    <w:pPr>
      <w:widowControl/>
      <w:suppressAutoHyphens w:val="true"/>
      <w:bidi w:val="0"/>
      <w:jc w:val="left"/>
    </w:pPr>
    <w:rPr>
      <w:rFonts w:ascii="Liberation Serif" w:hAnsi="Liberation Serif" w:eastAsia="Noto Serif CJK SC" w:cs="Lohit Devanagari"/>
      <w:color w:val="00000A"/>
      <w:sz w:val="24"/>
      <w:szCs w:val="24"/>
      <w:lang w:val="en-US" w:eastAsia="zh-CN" w:bidi="hi-IN"/>
      <w14:ligatures w14:val="standardContextual"/>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ed0f81"/>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d0f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LibreOffice/5.2.7.2$Linux_X86_64 LibreOffice_project/20$Build-2</Application>
  <Pages>2</Pages>
  <Words>349</Words>
  <Characters>1807</Characters>
  <CharactersWithSpaces>2133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2023-07-16T12:06:00Z</dcterms:created>
  <dc:creator>Nahaz Ali</dc:creator>
  <dc:description/>
  <dc:language>en-IN</dc:language>
  <cp:lastModifiedBy/>
  <dcterms:modified xsi:type="dcterms:W3CDTF">2023-08-02T15:29:25Z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